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DF" w:rsidRDefault="006951B5" w:rsidP="00693D69">
      <w:pPr>
        <w:pStyle w:val="IQB-Aufgabentitel"/>
        <w:spacing w:after="120"/>
        <w:rPr>
          <w:rFonts w:cs="Arial"/>
        </w:rPr>
      </w:pPr>
      <w:r w:rsidRPr="00693D69">
        <w:rPr>
          <w:rFonts w:cs="Arial"/>
        </w:rPr>
        <w:t xml:space="preserve">Didaktische </w:t>
      </w:r>
      <w:r w:rsidR="007A1DE7">
        <w:rPr>
          <w:rFonts w:cs="Arial"/>
        </w:rPr>
        <w:t>Kommentierung</w:t>
      </w:r>
      <w:bookmarkStart w:id="0" w:name="_GoBack"/>
      <w:bookmarkEnd w:id="0"/>
      <w:r w:rsidRPr="00693D69">
        <w:rPr>
          <w:rFonts w:cs="Arial"/>
        </w:rPr>
        <w:t xml:space="preserve">: </w:t>
      </w:r>
      <w:r w:rsidR="00693D69" w:rsidRPr="00693D69">
        <w:rPr>
          <w:rFonts w:cs="Arial"/>
        </w:rPr>
        <w:t>Aufgabe</w:t>
      </w:r>
      <w:r w:rsidRPr="00693D69">
        <w:rPr>
          <w:rFonts w:cs="Arial"/>
        </w:rPr>
        <w:t xml:space="preserve"> </w:t>
      </w:r>
      <w:r w:rsidR="00693D69" w:rsidRPr="00693D69">
        <w:rPr>
          <w:rFonts w:cs="Arial"/>
        </w:rPr>
        <w:t>Müsli Zutaten</w:t>
      </w:r>
    </w:p>
    <w:p w:rsidR="00693D69" w:rsidRPr="00693D69" w:rsidRDefault="00693D69" w:rsidP="00693D69">
      <w:pPr>
        <w:pStyle w:val="IQB-Aufgabentitel"/>
        <w:spacing w:after="120"/>
        <w:rPr>
          <w:rFonts w:cs="Arial"/>
          <w:sz w:val="22"/>
          <w:szCs w:val="22"/>
        </w:rPr>
      </w:pPr>
    </w:p>
    <w:p w:rsidR="006951B5" w:rsidRPr="00693D69" w:rsidRDefault="006951B5" w:rsidP="00693D69">
      <w:pPr>
        <w:pStyle w:val="IQB-Aufgabentitel"/>
        <w:spacing w:after="120"/>
        <w:rPr>
          <w:rFonts w:cs="Arial"/>
          <w:b/>
          <w:sz w:val="22"/>
          <w:szCs w:val="22"/>
        </w:rPr>
      </w:pPr>
      <w:r w:rsidRPr="00693D69">
        <w:rPr>
          <w:rFonts w:cs="Arial"/>
          <w:b/>
          <w:sz w:val="22"/>
          <w:szCs w:val="22"/>
        </w:rPr>
        <w:t>Aufgabenmerkmale</w:t>
      </w:r>
    </w:p>
    <w:tbl>
      <w:tblPr>
        <w:tblW w:w="9457" w:type="dxa"/>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8"/>
        <w:gridCol w:w="1844"/>
        <w:gridCol w:w="1845"/>
        <w:gridCol w:w="1845"/>
        <w:gridCol w:w="1845"/>
      </w:tblGrid>
      <w:tr w:rsidR="00FD79DF" w:rsidRPr="00693D69" w:rsidTr="00693D69">
        <w:trPr>
          <w:trHeight w:val="356"/>
        </w:trPr>
        <w:tc>
          <w:tcPr>
            <w:tcW w:w="2078" w:type="dxa"/>
            <w:vAlign w:val="center"/>
          </w:tcPr>
          <w:p w:rsidR="00FD79DF" w:rsidRPr="00693D69" w:rsidRDefault="00693D69" w:rsidP="00693D69">
            <w:pPr>
              <w:pStyle w:val="IQB-Merkmal"/>
              <w:spacing w:before="0" w:after="120"/>
              <w:rPr>
                <w:rFonts w:cs="Arial"/>
                <w:sz w:val="20"/>
                <w:szCs w:val="20"/>
              </w:rPr>
            </w:pPr>
            <w:r w:rsidRPr="00693D69">
              <w:rPr>
                <w:rFonts w:cs="Arial"/>
                <w:sz w:val="20"/>
                <w:szCs w:val="20"/>
              </w:rPr>
              <w:t>Leitidee</w:t>
            </w:r>
          </w:p>
        </w:tc>
        <w:tc>
          <w:tcPr>
            <w:tcW w:w="7379" w:type="dxa"/>
            <w:gridSpan w:val="4"/>
          </w:tcPr>
          <w:p w:rsidR="00FD79DF" w:rsidRPr="00693D69" w:rsidRDefault="00693D69" w:rsidP="00693D69">
            <w:pPr>
              <w:pStyle w:val="IQB-Merkmalswert"/>
              <w:spacing w:before="0" w:after="120"/>
              <w:rPr>
                <w:rFonts w:cs="Arial"/>
                <w:sz w:val="20"/>
                <w:szCs w:val="20"/>
              </w:rPr>
            </w:pPr>
            <w:r w:rsidRPr="00693D69">
              <w:rPr>
                <w:rFonts w:cs="Arial"/>
                <w:sz w:val="20"/>
                <w:szCs w:val="20"/>
              </w:rPr>
              <w:t>Muster und Strukturen</w:t>
            </w:r>
          </w:p>
        </w:tc>
      </w:tr>
      <w:tr w:rsidR="00FD79DF" w:rsidRPr="00693D69" w:rsidTr="00693D69">
        <w:trPr>
          <w:trHeight w:val="356"/>
        </w:trPr>
        <w:tc>
          <w:tcPr>
            <w:tcW w:w="2078" w:type="dxa"/>
          </w:tcPr>
          <w:p w:rsidR="00FD79DF" w:rsidRPr="00693D69" w:rsidRDefault="00693D69" w:rsidP="00693D69">
            <w:pPr>
              <w:pStyle w:val="IQB-Merkmal"/>
              <w:spacing w:before="0" w:after="120"/>
              <w:rPr>
                <w:rFonts w:cs="Arial"/>
                <w:sz w:val="20"/>
                <w:szCs w:val="20"/>
              </w:rPr>
            </w:pPr>
            <w:r w:rsidRPr="00693D69">
              <w:rPr>
                <w:rFonts w:cs="Arial"/>
                <w:sz w:val="20"/>
                <w:szCs w:val="20"/>
              </w:rPr>
              <w:t>Aufgabenmerkmale</w:t>
            </w:r>
          </w:p>
        </w:tc>
        <w:tc>
          <w:tcPr>
            <w:tcW w:w="1844" w:type="dxa"/>
          </w:tcPr>
          <w:p w:rsidR="00FD79DF" w:rsidRPr="00693D69" w:rsidRDefault="00693D69" w:rsidP="00693D69">
            <w:pPr>
              <w:pStyle w:val="IQB-Merkmalswert"/>
              <w:spacing w:before="0" w:after="120"/>
              <w:rPr>
                <w:rFonts w:cs="Arial"/>
                <w:sz w:val="20"/>
                <w:szCs w:val="20"/>
              </w:rPr>
            </w:pPr>
            <w:r w:rsidRPr="00693D69">
              <w:rPr>
                <w:rFonts w:cs="Arial"/>
                <w:sz w:val="20"/>
                <w:szCs w:val="20"/>
              </w:rPr>
              <w:t>1.1</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1.2</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1.3</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1.4</w:t>
            </w:r>
          </w:p>
        </w:tc>
      </w:tr>
      <w:tr w:rsidR="00FD79DF" w:rsidRPr="00693D69" w:rsidTr="00693D69">
        <w:trPr>
          <w:trHeight w:val="1763"/>
        </w:trPr>
        <w:tc>
          <w:tcPr>
            <w:tcW w:w="2078" w:type="dxa"/>
            <w:vAlign w:val="center"/>
          </w:tcPr>
          <w:p w:rsidR="00FD79DF" w:rsidRPr="00693D69" w:rsidRDefault="00693D69" w:rsidP="00693D69">
            <w:pPr>
              <w:pStyle w:val="IQB-Merkmal"/>
              <w:spacing w:before="0" w:after="120"/>
              <w:rPr>
                <w:rFonts w:cs="Arial"/>
                <w:sz w:val="20"/>
                <w:szCs w:val="20"/>
              </w:rPr>
            </w:pPr>
            <w:r w:rsidRPr="00693D69">
              <w:rPr>
                <w:rFonts w:cs="Arial"/>
                <w:sz w:val="20"/>
                <w:szCs w:val="20"/>
              </w:rPr>
              <w:t>Bildungsstandard/s - Allgemeine Kompetenzen</w:t>
            </w:r>
          </w:p>
        </w:tc>
        <w:tc>
          <w:tcPr>
            <w:tcW w:w="1844" w:type="dxa"/>
          </w:tcPr>
          <w:p w:rsidR="00FD79DF" w:rsidRPr="00693D69" w:rsidRDefault="00693D69" w:rsidP="00693D69">
            <w:pPr>
              <w:pStyle w:val="IQB-Merkmalswert"/>
              <w:spacing w:before="0" w:after="120"/>
              <w:rPr>
                <w:rFonts w:cs="Arial"/>
                <w:sz w:val="20"/>
                <w:szCs w:val="20"/>
              </w:rPr>
            </w:pPr>
            <w:r w:rsidRPr="00693D69">
              <w:rPr>
                <w:rFonts w:cs="Arial"/>
                <w:sz w:val="20"/>
                <w:szCs w:val="20"/>
              </w:rPr>
              <w:t>Sachtexten und anderen Darstellungen der Lebenswirklichkeit die relevanten Informationen entnehmen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Sachtexten und anderen Darstellungen der Lebenswirklichkeit die relevanten Informationen entnehmen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Sachtexten und anderen Darstellungen der Lebenswirklichkeit die relevanten Informationen entnehmen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Sachtexten und anderen Darstellungen der Lebenswirklichkeit die relevanten Informationen entnehmen</w:t>
            </w:r>
          </w:p>
        </w:tc>
      </w:tr>
      <w:tr w:rsidR="00FD79DF" w:rsidRPr="00693D69" w:rsidTr="00693D69">
        <w:trPr>
          <w:trHeight w:val="1304"/>
        </w:trPr>
        <w:tc>
          <w:tcPr>
            <w:tcW w:w="2078" w:type="dxa"/>
            <w:vAlign w:val="center"/>
          </w:tcPr>
          <w:p w:rsidR="00FD79DF" w:rsidRPr="00693D69" w:rsidRDefault="00693D69" w:rsidP="00693D69">
            <w:pPr>
              <w:pStyle w:val="IQB-Merkmal"/>
              <w:spacing w:before="0" w:after="120"/>
              <w:rPr>
                <w:rFonts w:cs="Arial"/>
                <w:sz w:val="20"/>
                <w:szCs w:val="20"/>
              </w:rPr>
            </w:pPr>
            <w:r w:rsidRPr="00693D69">
              <w:rPr>
                <w:rFonts w:cs="Arial"/>
                <w:sz w:val="20"/>
                <w:szCs w:val="20"/>
              </w:rPr>
              <w:t>Bildungsstandard/s - Inhaltsbezogene Kompetenzen (Leitideen)</w:t>
            </w:r>
          </w:p>
        </w:tc>
        <w:tc>
          <w:tcPr>
            <w:tcW w:w="1844" w:type="dxa"/>
          </w:tcPr>
          <w:p w:rsidR="00FD79DF" w:rsidRPr="00693D69" w:rsidRDefault="00693D69" w:rsidP="00693D69">
            <w:pPr>
              <w:pStyle w:val="IQB-Merkmalswert"/>
              <w:spacing w:before="0" w:after="120"/>
              <w:rPr>
                <w:rFonts w:cs="Arial"/>
                <w:sz w:val="20"/>
                <w:szCs w:val="20"/>
              </w:rPr>
            </w:pPr>
            <w:r w:rsidRPr="00693D69">
              <w:rPr>
                <w:rFonts w:cs="Arial"/>
                <w:sz w:val="20"/>
                <w:szCs w:val="20"/>
              </w:rPr>
              <w:t>einfache Sachaufgaben zur Proportionalität lösen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einfache Sachaufgaben zur Proportionalität lösen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einfache Sachaufgaben zur Proportionalität lösen</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einfache Sachaufgaben zur Proportionalität lösen</w:t>
            </w:r>
          </w:p>
        </w:tc>
      </w:tr>
      <w:tr w:rsidR="00FD79DF" w:rsidRPr="00693D69" w:rsidTr="00693D69">
        <w:trPr>
          <w:trHeight w:val="356"/>
        </w:trPr>
        <w:tc>
          <w:tcPr>
            <w:tcW w:w="2078" w:type="dxa"/>
            <w:vAlign w:val="center"/>
          </w:tcPr>
          <w:p w:rsidR="00FD79DF" w:rsidRPr="00693D69" w:rsidRDefault="00693D69" w:rsidP="00693D69">
            <w:pPr>
              <w:pStyle w:val="IQB-Merkmal"/>
              <w:spacing w:before="0" w:after="120"/>
              <w:rPr>
                <w:rFonts w:cs="Arial"/>
                <w:sz w:val="20"/>
                <w:szCs w:val="20"/>
              </w:rPr>
            </w:pPr>
            <w:r w:rsidRPr="00693D69">
              <w:rPr>
                <w:rFonts w:cs="Arial"/>
                <w:sz w:val="20"/>
                <w:szCs w:val="20"/>
              </w:rPr>
              <w:t>Kompetenzstufe</w:t>
            </w:r>
          </w:p>
        </w:tc>
        <w:tc>
          <w:tcPr>
            <w:tcW w:w="1844" w:type="dxa"/>
          </w:tcPr>
          <w:p w:rsidR="00FD79DF" w:rsidRPr="00693D69" w:rsidRDefault="00693D69" w:rsidP="00693D69">
            <w:pPr>
              <w:pStyle w:val="IQB-Merkmalswert"/>
              <w:spacing w:before="0" w:after="120"/>
              <w:rPr>
                <w:rFonts w:cs="Arial"/>
                <w:sz w:val="20"/>
                <w:szCs w:val="20"/>
              </w:rPr>
            </w:pPr>
            <w:r w:rsidRPr="00693D69">
              <w:rPr>
                <w:rFonts w:cs="Arial"/>
                <w:sz w:val="20"/>
                <w:szCs w:val="20"/>
              </w:rPr>
              <w:t>II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II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II</w:t>
            </w:r>
          </w:p>
        </w:tc>
      </w:tr>
      <w:tr w:rsidR="00FD79DF" w:rsidRPr="00693D69" w:rsidTr="00693D69">
        <w:trPr>
          <w:trHeight w:val="591"/>
        </w:trPr>
        <w:tc>
          <w:tcPr>
            <w:tcW w:w="2078" w:type="dxa"/>
            <w:vAlign w:val="center"/>
          </w:tcPr>
          <w:p w:rsidR="00FD79DF" w:rsidRPr="00693D69" w:rsidRDefault="00693D69" w:rsidP="00693D69">
            <w:pPr>
              <w:pStyle w:val="IQB-Merkmal"/>
              <w:spacing w:before="0" w:after="120"/>
              <w:rPr>
                <w:rFonts w:cs="Arial"/>
                <w:sz w:val="20"/>
                <w:szCs w:val="20"/>
              </w:rPr>
            </w:pPr>
            <w:r w:rsidRPr="00693D69">
              <w:rPr>
                <w:rFonts w:cs="Arial"/>
                <w:sz w:val="20"/>
                <w:szCs w:val="20"/>
              </w:rPr>
              <w:t>Anforderungsbereich</w:t>
            </w:r>
          </w:p>
        </w:tc>
        <w:tc>
          <w:tcPr>
            <w:tcW w:w="1844" w:type="dxa"/>
          </w:tcPr>
          <w:p w:rsidR="00FD79DF" w:rsidRPr="00693D69" w:rsidRDefault="00693D69" w:rsidP="00693D69">
            <w:pPr>
              <w:pStyle w:val="IQB-Merkmalswert"/>
              <w:spacing w:before="0" w:after="120"/>
              <w:rPr>
                <w:rFonts w:cs="Arial"/>
                <w:sz w:val="20"/>
                <w:szCs w:val="20"/>
              </w:rPr>
            </w:pPr>
            <w:r w:rsidRPr="00693D69">
              <w:rPr>
                <w:rFonts w:cs="Arial"/>
                <w:sz w:val="20"/>
                <w:szCs w:val="20"/>
              </w:rPr>
              <w:t>Zusammenhänge herstellen (II)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Zusammenhänge herstellen (II)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Zusammenhänge herstellen (II)</w:t>
            </w:r>
          </w:p>
        </w:tc>
        <w:tc>
          <w:tcPr>
            <w:tcW w:w="1845" w:type="dxa"/>
          </w:tcPr>
          <w:p w:rsidR="00FD79DF" w:rsidRPr="00693D69" w:rsidRDefault="00693D69" w:rsidP="00693D69">
            <w:pPr>
              <w:pStyle w:val="IQB-Merkmalswert"/>
              <w:spacing w:before="0" w:after="120"/>
              <w:rPr>
                <w:rFonts w:cs="Arial"/>
                <w:sz w:val="20"/>
                <w:szCs w:val="20"/>
              </w:rPr>
            </w:pPr>
            <w:r w:rsidRPr="00693D69">
              <w:rPr>
                <w:rFonts w:cs="Arial"/>
                <w:sz w:val="20"/>
                <w:szCs w:val="20"/>
              </w:rPr>
              <w:t>Zusammenhänge herstellen (II)</w:t>
            </w:r>
          </w:p>
        </w:tc>
      </w:tr>
    </w:tbl>
    <w:p w:rsidR="00693D69" w:rsidRPr="00693D69" w:rsidRDefault="00693D69" w:rsidP="00693D69">
      <w:pPr>
        <w:pStyle w:val="IQB-Teilaufgabensubtitel"/>
        <w:spacing w:before="0" w:after="120"/>
        <w:rPr>
          <w:rFonts w:cs="Arial"/>
          <w:szCs w:val="22"/>
        </w:rPr>
      </w:pPr>
    </w:p>
    <w:p w:rsidR="00693D69" w:rsidRPr="00693D69" w:rsidRDefault="00693D69" w:rsidP="00693D69">
      <w:pPr>
        <w:pStyle w:val="IQB-Teilaufgabensubtitel"/>
        <w:spacing w:before="0" w:after="120"/>
        <w:rPr>
          <w:rFonts w:cs="Arial"/>
          <w:b/>
          <w:szCs w:val="22"/>
        </w:rPr>
      </w:pPr>
      <w:r w:rsidRPr="00693D69">
        <w:rPr>
          <w:rFonts w:cs="Arial"/>
          <w:b/>
          <w:szCs w:val="22"/>
        </w:rPr>
        <w:t>Didaktischer Kommentar</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t xml:space="preserve">Gegeben ist eine funktionale Beziehung einer altersrelevanten Sachsituation, die in einer den Kindern bekannten Tabellenform dargestellt wird. Sie müssen der Tabelle die relevanten Informationen entnehmen, die zur Berechnung der fehlenden Werte benötigt werden. </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t>Voraussetzung zur Berechnung ist der Umgang mit und das Lesen von Tabellen, sowie das Berechnen von einfachen Aufgaben zu den Grundrechenarten.</w:t>
      </w:r>
    </w:p>
    <w:p w:rsidR="00693D69" w:rsidRPr="00693D69" w:rsidRDefault="00693D69" w:rsidP="00693D69">
      <w:pPr>
        <w:spacing w:after="120"/>
        <w:rPr>
          <w:rFonts w:ascii="Arial" w:hAnsi="Arial" w:cs="Arial"/>
          <w:sz w:val="22"/>
          <w:szCs w:val="22"/>
        </w:rPr>
      </w:pPr>
    </w:p>
    <w:p w:rsidR="00693D69" w:rsidRPr="00693D69" w:rsidRDefault="00693D69" w:rsidP="00693D69">
      <w:pPr>
        <w:spacing w:after="120"/>
        <w:rPr>
          <w:rFonts w:ascii="Arial" w:hAnsi="Arial" w:cs="Arial"/>
          <w:b/>
          <w:sz w:val="22"/>
          <w:szCs w:val="22"/>
        </w:rPr>
      </w:pPr>
      <w:r w:rsidRPr="00693D69">
        <w:rPr>
          <w:rFonts w:ascii="Arial" w:hAnsi="Arial" w:cs="Arial"/>
          <w:b/>
          <w:sz w:val="22"/>
          <w:szCs w:val="22"/>
        </w:rPr>
        <w:t>Anregungen für den Unterricht</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t>Die Verwendung von tabellarischen Darstellungsformen als ein Aspekt der prozessbezogenen Kompetenz „Darstellung von Mathematik</w:t>
      </w:r>
      <w:proofErr w:type="gramStart"/>
      <w:r w:rsidRPr="00693D69">
        <w:rPr>
          <w:rFonts w:ascii="Arial" w:hAnsi="Arial" w:cs="Arial"/>
          <w:sz w:val="22"/>
          <w:szCs w:val="22"/>
        </w:rPr>
        <w:t xml:space="preserve">“ </w:t>
      </w:r>
      <w:r w:rsidR="00FF673E">
        <w:rPr>
          <w:rFonts w:ascii="Arial" w:hAnsi="Arial" w:cs="Arial"/>
          <w:sz w:val="22"/>
          <w:szCs w:val="22"/>
        </w:rPr>
        <w:t xml:space="preserve"> -</w:t>
      </w:r>
      <w:proofErr w:type="gramEnd"/>
      <w:r w:rsidR="00FF673E">
        <w:rPr>
          <w:rFonts w:ascii="Arial" w:hAnsi="Arial" w:cs="Arial"/>
          <w:sz w:val="22"/>
          <w:szCs w:val="22"/>
        </w:rPr>
        <w:t xml:space="preserve"> </w:t>
      </w:r>
      <w:r w:rsidRPr="00693D69">
        <w:rPr>
          <w:rFonts w:ascii="Arial" w:hAnsi="Arial" w:cs="Arial"/>
          <w:sz w:val="22"/>
          <w:szCs w:val="22"/>
        </w:rPr>
        <w:t>sowohl in ihrer Erstellung als auch als Grundlage zum Auslesen von Informationen oder als Anlass zur Kommunikation und Argumentation über mathematische Sachverhalte</w:t>
      </w:r>
      <w:r w:rsidR="00FF673E">
        <w:rPr>
          <w:rFonts w:ascii="Arial" w:hAnsi="Arial" w:cs="Arial"/>
          <w:sz w:val="22"/>
          <w:szCs w:val="22"/>
        </w:rPr>
        <w:t xml:space="preserve"> -</w:t>
      </w:r>
      <w:r w:rsidRPr="00693D69">
        <w:rPr>
          <w:rFonts w:ascii="Arial" w:hAnsi="Arial" w:cs="Arial"/>
          <w:sz w:val="22"/>
          <w:szCs w:val="22"/>
        </w:rPr>
        <w:t xml:space="preserve"> ist Grundvoraussetzung zum Lösen von problemhaltigen Aufgaben.</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t>Die Konfrontation der Lernenden mit tabellarischen Darstellungen und Diagrammen, die aus allen fünf mathematischen Leitideen stammen können, sollte bereits in der Eingangsphase erfolgen. Sie gehen von Sachsituationen aus,</w:t>
      </w:r>
    </w:p>
    <w:p w:rsidR="00693D69" w:rsidRPr="00693D69" w:rsidRDefault="00693D69" w:rsidP="00693D69">
      <w:pPr>
        <w:pStyle w:val="Listenabsatz"/>
        <w:numPr>
          <w:ilvl w:val="0"/>
          <w:numId w:val="3"/>
        </w:numPr>
        <w:spacing w:after="120"/>
        <w:rPr>
          <w:rFonts w:ascii="Arial" w:hAnsi="Arial" w:cs="Arial"/>
          <w:sz w:val="22"/>
          <w:szCs w:val="22"/>
        </w:rPr>
      </w:pPr>
      <w:r w:rsidRPr="00693D69">
        <w:rPr>
          <w:rFonts w:ascii="Arial" w:hAnsi="Arial" w:cs="Arial"/>
          <w:sz w:val="22"/>
          <w:szCs w:val="22"/>
        </w:rPr>
        <w:t>die der Lebenswelt der Kinder entnommen sind, deren Daten die Kinder selbst erheben und ggf. in Tabellenform umsetzen,</w:t>
      </w:r>
    </w:p>
    <w:p w:rsidR="00693D69" w:rsidRPr="00693D69" w:rsidRDefault="00693D69" w:rsidP="00693D69">
      <w:pPr>
        <w:pStyle w:val="Listenabsatz"/>
        <w:numPr>
          <w:ilvl w:val="0"/>
          <w:numId w:val="3"/>
        </w:numPr>
        <w:spacing w:after="120"/>
        <w:rPr>
          <w:rFonts w:ascii="Arial" w:hAnsi="Arial" w:cs="Arial"/>
          <w:sz w:val="22"/>
          <w:szCs w:val="22"/>
        </w:rPr>
      </w:pPr>
      <w:r w:rsidRPr="00693D69">
        <w:rPr>
          <w:rFonts w:ascii="Arial" w:hAnsi="Arial" w:cs="Arial"/>
          <w:sz w:val="22"/>
          <w:szCs w:val="22"/>
        </w:rPr>
        <w:t>sich dabei mathematische Fragen stellen und</w:t>
      </w:r>
    </w:p>
    <w:p w:rsidR="00693D69" w:rsidRPr="00693D69" w:rsidRDefault="00693D69" w:rsidP="00693D69">
      <w:pPr>
        <w:pStyle w:val="Listenabsatz"/>
        <w:numPr>
          <w:ilvl w:val="0"/>
          <w:numId w:val="3"/>
        </w:numPr>
        <w:spacing w:after="120"/>
        <w:rPr>
          <w:rFonts w:ascii="Arial" w:hAnsi="Arial" w:cs="Arial"/>
          <w:sz w:val="22"/>
          <w:szCs w:val="22"/>
        </w:rPr>
      </w:pPr>
      <w:r w:rsidRPr="00693D69">
        <w:rPr>
          <w:rFonts w:ascii="Arial" w:hAnsi="Arial" w:cs="Arial"/>
          <w:sz w:val="22"/>
          <w:szCs w:val="22"/>
        </w:rPr>
        <w:t>Berechnungen – auch zur Proportionalität – durchführen und dazu Aussagen formulieren.</w:t>
      </w:r>
    </w:p>
    <w:p w:rsidR="00693D69" w:rsidRPr="00693D69" w:rsidRDefault="00693D69" w:rsidP="00693D69">
      <w:pPr>
        <w:spacing w:after="120"/>
        <w:rPr>
          <w:rFonts w:ascii="Arial" w:hAnsi="Arial" w:cs="Arial"/>
          <w:sz w:val="22"/>
          <w:szCs w:val="22"/>
        </w:rPr>
      </w:pPr>
      <w:r w:rsidRPr="00693D69">
        <w:rPr>
          <w:rFonts w:ascii="Arial" w:hAnsi="Arial" w:cs="Arial"/>
          <w:i/>
          <w:sz w:val="22"/>
          <w:szCs w:val="22"/>
        </w:rPr>
        <w:t>Beispiel:</w:t>
      </w:r>
      <w:r w:rsidRPr="00693D69">
        <w:rPr>
          <w:rFonts w:ascii="Arial" w:hAnsi="Arial" w:cs="Arial"/>
          <w:sz w:val="22"/>
          <w:szCs w:val="22"/>
        </w:rPr>
        <w:t xml:space="preserve"> Kinder wollen einen Nachtisch für alle Kinder der Klasse herstellen: Zwei Rezepte für vier Personen stehen zur Auswahl:</w:t>
      </w:r>
    </w:p>
    <w:p w:rsidR="00693D69" w:rsidRDefault="00693D69" w:rsidP="00693D69">
      <w:pPr>
        <w:pStyle w:val="Listenabsatz"/>
        <w:numPr>
          <w:ilvl w:val="0"/>
          <w:numId w:val="4"/>
        </w:numPr>
        <w:spacing w:after="120"/>
        <w:rPr>
          <w:rFonts w:ascii="Arial" w:hAnsi="Arial" w:cs="Arial"/>
          <w:sz w:val="22"/>
          <w:szCs w:val="22"/>
        </w:rPr>
      </w:pPr>
      <w:r w:rsidRPr="00693D69">
        <w:rPr>
          <w:rFonts w:ascii="Arial" w:hAnsi="Arial" w:cs="Arial"/>
          <w:sz w:val="22"/>
          <w:szCs w:val="22"/>
        </w:rPr>
        <w:t>Obstsalat</w:t>
      </w:r>
    </w:p>
    <w:p w:rsidR="00693D69" w:rsidRPr="00693D69" w:rsidRDefault="00693D69" w:rsidP="00693D69">
      <w:pPr>
        <w:pStyle w:val="Listenabsatz"/>
        <w:numPr>
          <w:ilvl w:val="0"/>
          <w:numId w:val="4"/>
        </w:numPr>
        <w:spacing w:after="120"/>
        <w:rPr>
          <w:rFonts w:ascii="Arial" w:hAnsi="Arial" w:cs="Arial"/>
          <w:sz w:val="22"/>
          <w:szCs w:val="22"/>
        </w:rPr>
      </w:pPr>
      <w:r w:rsidRPr="00693D69">
        <w:rPr>
          <w:rFonts w:ascii="Arial" w:hAnsi="Arial" w:cs="Arial"/>
          <w:sz w:val="22"/>
          <w:szCs w:val="22"/>
        </w:rPr>
        <w:t>Schokoladenpudding</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lastRenderedPageBreak/>
        <w:t>Zunächst wird eine Umfrage in der Klasse durchgeführt, Strichlisten und Säulendiagramme werden erstellt, bevor die Einkaufslisten erarbeitet werden:</w:t>
      </w:r>
    </w:p>
    <w:p w:rsidR="00693D69" w:rsidRPr="00693D69" w:rsidRDefault="00693D69" w:rsidP="00693D69">
      <w:pPr>
        <w:spacing w:after="120"/>
        <w:rPr>
          <w:rFonts w:ascii="Arial" w:hAnsi="Arial" w:cs="Arial"/>
          <w:sz w:val="22"/>
          <w:szCs w:val="22"/>
        </w:rPr>
      </w:pPr>
      <w:r w:rsidRPr="00693D69">
        <w:rPr>
          <w:rFonts w:ascii="Arial" w:hAnsi="Arial" w:cs="Arial"/>
          <w:sz w:val="22"/>
          <w:szCs w:val="22"/>
        </w:rPr>
        <w:t>Welche Mengen müssen wir von den einzelnen Obstsorten einkaufen? Was kostet das dann? Welche Zutaten in welchen Mengen benötigen wir für den Schokoladenpudding? Wie teuer wird das? Was müssen wir pro Portion von jedem Nachtisch berechnen (Geld einsammeln)? Welcher Nachtisch wird teurer? Wie organisieren wir die Durchführung der Einkäufe und der Bearbeitung der Rezepte.</w:t>
      </w:r>
    </w:p>
    <w:p w:rsidR="00E12AAC" w:rsidRPr="00693D69" w:rsidRDefault="00693D69" w:rsidP="00693D69">
      <w:pPr>
        <w:spacing w:after="120"/>
        <w:rPr>
          <w:rFonts w:ascii="Arial" w:hAnsi="Arial" w:cs="Arial"/>
          <w:sz w:val="22"/>
          <w:szCs w:val="22"/>
        </w:rPr>
      </w:pPr>
      <w:r w:rsidRPr="00693D69">
        <w:rPr>
          <w:rFonts w:ascii="Arial" w:hAnsi="Arial" w:cs="Arial"/>
          <w:sz w:val="22"/>
          <w:szCs w:val="22"/>
        </w:rPr>
        <w:t>Welche Mengen von Zutaten benötige ich, wenn ich die Rezepte für mich und meine Freundin/ meinen Freund zuhause nachkochen möchte. Wie teuer werden die Nachtische?</w:t>
      </w:r>
    </w:p>
    <w:sectPr w:rsidR="00E12AAC" w:rsidRPr="00693D6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1B5" w:rsidRDefault="006951B5" w:rsidP="006951B5">
      <w:r>
        <w:separator/>
      </w:r>
    </w:p>
  </w:endnote>
  <w:endnote w:type="continuationSeparator" w:id="0">
    <w:p w:rsidR="006951B5" w:rsidRDefault="006951B5" w:rsidP="0069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1B5" w:rsidRDefault="006951B5" w:rsidP="006951B5">
      <w:r>
        <w:separator/>
      </w:r>
    </w:p>
  </w:footnote>
  <w:footnote w:type="continuationSeparator" w:id="0">
    <w:p w:rsidR="006951B5" w:rsidRDefault="006951B5" w:rsidP="00695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Kopfzeile"/>
    </w:pPr>
    <w:r>
      <w:rPr>
        <w:noProof/>
      </w:rPr>
      <w:drawing>
        <wp:inline distT="0" distB="0" distL="0" distR="0" wp14:anchorId="2BF30EB2" wp14:editId="397DCA34">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1B5" w:rsidRDefault="006951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440DE"/>
    <w:multiLevelType w:val="hybridMultilevel"/>
    <w:tmpl w:val="EFD8D6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BE436F"/>
    <w:multiLevelType w:val="hybridMultilevel"/>
    <w:tmpl w:val="657E0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93D69"/>
    <w:rsid w:val="006951B5"/>
    <w:rsid w:val="006C29B7"/>
    <w:rsid w:val="00753D68"/>
    <w:rsid w:val="00756CB3"/>
    <w:rsid w:val="007A1DE7"/>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E12AAC"/>
    <w:rsid w:val="00F0154F"/>
    <w:rsid w:val="00FA77D2"/>
    <w:rsid w:val="00FB6458"/>
    <w:rsid w:val="00FD79DF"/>
    <w:rsid w:val="00FF6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84FBA1"/>
  <w15:docId w15:val="{B91D2757-ABB2-46EB-A984-B6C6803D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6951B5"/>
    <w:pPr>
      <w:tabs>
        <w:tab w:val="center" w:pos="4536"/>
        <w:tab w:val="right" w:pos="9072"/>
      </w:tabs>
    </w:pPr>
  </w:style>
  <w:style w:type="character" w:customStyle="1" w:styleId="KopfzeileZchn">
    <w:name w:val="Kopfzeile Zchn"/>
    <w:basedOn w:val="Absatz-Standardschriftart"/>
    <w:link w:val="Kopfzeile"/>
    <w:rsid w:val="006951B5"/>
    <w:rPr>
      <w:sz w:val="24"/>
      <w:szCs w:val="24"/>
    </w:rPr>
  </w:style>
  <w:style w:type="paragraph" w:styleId="Fuzeile">
    <w:name w:val="footer"/>
    <w:basedOn w:val="Standard"/>
    <w:link w:val="FuzeileZchn"/>
    <w:unhideWhenUsed/>
    <w:rsid w:val="006951B5"/>
    <w:pPr>
      <w:tabs>
        <w:tab w:val="center" w:pos="4536"/>
        <w:tab w:val="right" w:pos="9072"/>
      </w:tabs>
    </w:pPr>
  </w:style>
  <w:style w:type="character" w:customStyle="1" w:styleId="FuzeileZchn">
    <w:name w:val="Fußzeile Zchn"/>
    <w:basedOn w:val="Absatz-Standardschriftart"/>
    <w:link w:val="Fuzeile"/>
    <w:rsid w:val="006951B5"/>
    <w:rPr>
      <w:sz w:val="24"/>
      <w:szCs w:val="24"/>
    </w:rPr>
  </w:style>
  <w:style w:type="paragraph" w:styleId="Listenabsatz">
    <w:name w:val="List Paragraph"/>
    <w:basedOn w:val="Standard"/>
    <w:uiPriority w:val="34"/>
    <w:qFormat/>
    <w:rsid w:val="00693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